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4FD7" w14:textId="77777777" w:rsidR="00803311" w:rsidRDefault="00803311" w:rsidP="00803311">
      <w:pPr>
        <w:spacing w:after="0" w:line="240" w:lineRule="auto"/>
        <w:ind w:left="5812"/>
        <w:rPr>
          <w:rFonts w:ascii="Arial" w:eastAsia="Times New Roman" w:hAnsi="Arial" w:cs="Arial"/>
          <w:sz w:val="21"/>
          <w:szCs w:val="21"/>
          <w:lang w:val="kk-KZ" w:eastAsia="ru-KZ"/>
        </w:rPr>
      </w:pPr>
      <w:r w:rsidRPr="00803311">
        <w:rPr>
          <w:rFonts w:ascii="Arial" w:eastAsia="Times New Roman" w:hAnsi="Arial" w:cs="Arial"/>
          <w:sz w:val="21"/>
          <w:szCs w:val="21"/>
          <w:lang w:eastAsia="ru-KZ"/>
        </w:rPr>
        <w:t>Б</w:t>
      </w:r>
      <w:r>
        <w:rPr>
          <w:rFonts w:ascii="Arial" w:eastAsia="Times New Roman" w:hAnsi="Arial" w:cs="Arial"/>
          <w:sz w:val="21"/>
          <w:szCs w:val="21"/>
          <w:lang w:val="kk-KZ" w:eastAsia="ru-KZ"/>
        </w:rPr>
        <w:t>ЕКІТІЛГЕН</w:t>
      </w:r>
    </w:p>
    <w:p w14:paraId="5BAC0FB6" w14:textId="1C3750B8" w:rsidR="00803311" w:rsidRPr="00803311" w:rsidRDefault="00803311" w:rsidP="008033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Шешімімен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комиссия 2018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25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желтоқсандағы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№ 210</w:t>
      </w:r>
    </w:p>
    <w:p w14:paraId="1EE5BA0D" w14:textId="77777777" w:rsidR="00803311" w:rsidRDefault="00803311" w:rsidP="0080331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KZ"/>
        </w:rPr>
      </w:pPr>
    </w:p>
    <w:p w14:paraId="7ACBA01E" w14:textId="77777777" w:rsidR="00803311" w:rsidRPr="00803311" w:rsidRDefault="00803311" w:rsidP="0080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</w:pPr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Ә</w:t>
      </w:r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ДІСТЕМЕ</w:t>
      </w:r>
    </w:p>
    <w:p w14:paraId="2103D4CF" w14:textId="70CA9C7A" w:rsidR="00803311" w:rsidRPr="00803311" w:rsidRDefault="00803311" w:rsidP="0080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Еуразиялық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одаққа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тауарларымен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статистикасын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жүргізу</w:t>
      </w:r>
      <w:proofErr w:type="spellEnd"/>
    </w:p>
    <w:p w14:paraId="23CD7F8D" w14:textId="77777777" w:rsidR="00803311" w:rsidRPr="00803311" w:rsidRDefault="00803311" w:rsidP="0080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3904280" w14:textId="76C914F5" w:rsidR="00803311" w:rsidRPr="00803311" w:rsidRDefault="00803311" w:rsidP="008033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803311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I.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Жалпы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ережелер</w:t>
      </w:r>
      <w:proofErr w:type="spellEnd"/>
    </w:p>
    <w:p w14:paraId="156EE15E" w14:textId="77777777" w:rsidR="00803311" w:rsidRPr="00803311" w:rsidRDefault="00803311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07BBF4D" w14:textId="77777777" w:rsidR="00803311" w:rsidRDefault="00803311" w:rsidP="009678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1. Осы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әдіснама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одаққа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тауарларымен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жүргізуге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бірыңғай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әдіснамалық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тәсілдерді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белгілеу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одақтың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ресми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қалыптастыру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тәртібі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хаттаманың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одақ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2014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29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мамырдағы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бұдан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–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№ 4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қосымша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4 –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әзірленді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қарай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тиісінше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тұжырымдамалар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анықтамалар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2010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стандартына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арасында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ресми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салыстырмалылығын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қамтамасыз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ететін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5CC3EF51" w14:textId="77777777" w:rsidR="00803311" w:rsidRDefault="00803311" w:rsidP="009678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75E21D9" w14:textId="508FE5A1" w:rsidR="00803311" w:rsidRDefault="00803311" w:rsidP="009678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2. Осы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Әдістеме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бұдан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әрі</w:t>
      </w:r>
      <w:proofErr w:type="spellEnd"/>
      <w:r w:rsidR="00967827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 </w:t>
      </w:r>
      <w:r w:rsidR="00967827">
        <w:rPr>
          <w:rFonts w:ascii="Times New Roman" w:eastAsia="Times New Roman" w:hAnsi="Times New Roman" w:cs="Times New Roman"/>
          <w:sz w:val="24"/>
          <w:szCs w:val="24"/>
          <w:lang w:eastAsia="ru-KZ"/>
        </w:rPr>
        <w:t>–</w:t>
      </w:r>
      <w:r w:rsidR="00967827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қолдануына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арналған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06CBAB93" w14:textId="77777777" w:rsidR="00803311" w:rsidRDefault="00803311" w:rsidP="009678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55CCC3F" w14:textId="1B360074" w:rsidR="00803311" w:rsidRPr="00803311" w:rsidRDefault="00803311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II.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Негізгі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ұғымдар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</w:p>
    <w:p w14:paraId="01BC28F4" w14:textId="77777777" w:rsidR="00803311" w:rsidRDefault="00803311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E3CB557" w14:textId="77777777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3. Осы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Әдістемеде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ұғымдар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мыналарды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білдіреді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1673F03A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7C2D2DB" w14:textId="77777777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арасындағы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импорты мен экспорты; </w:t>
      </w:r>
    </w:p>
    <w:p w14:paraId="4262DEAF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64A964D" w14:textId="1B840832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импорттаушы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мәміленің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тарапы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табылатын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адамнан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сатып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сатып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оны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сатып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айырбастау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сондай-ақ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1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бастап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мерзімге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қабылдау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түсініледі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)</w:t>
      </w:r>
      <w:r w:rsidR="00984577" w:rsidRPr="0098457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қаржылық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жалдау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(лизинг) не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сақтау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консигнациялық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келісім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өңдеуге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өңдеуден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кейін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өтеусіз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гуманитарлық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техникалық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көмек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сыйлық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жарғылық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салым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қабылдау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); </w:t>
      </w:r>
    </w:p>
    <w:p w14:paraId="79086845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B9B5038" w14:textId="7F7B616A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импорты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материалдық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ресурстарының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қорларына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; контрагент-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импорттаушымен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экспорттаушымен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мәмілесінің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тарапы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табылатын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196F9E6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88233E6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тағайындалған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–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өңдеуге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жататын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екінші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өткізілгенін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растайтын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көліктік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ілеспе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құжаттарда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көрсетілген-мүшесі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3E1EF640" w14:textId="77777777" w:rsidR="00C47EBE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lastRenderedPageBreak/>
        <w:t>«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жөнелту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–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жөнелтілген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екінші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өткізілгенін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растайтын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көліктік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тауарға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ілеспе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құжаттарда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көрсетілген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70B9F03E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90C27AA" w14:textId="77777777" w:rsidR="00C47EBE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шығарылған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–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Еуразиялық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одақ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құқығына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белгіленген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әкелінетін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әкетілетін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шығу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тегін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айқындау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қағидаларына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айқындалған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5E5F6E52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1875107" w14:textId="77777777" w:rsidR="00C47EBE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мәміле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объектісі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болып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табылатын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оған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екінші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келген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жылжымалы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мүлік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59D8D6F1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F3767B0" w14:textId="77777777" w:rsidR="00C47EBE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жасайтын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аумағында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мәміле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тарапы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әрекет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ететін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тіркелген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оған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екінші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7999E3EF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B6B669F" w14:textId="77777777" w:rsidR="00C47EBE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қызметке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–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импорттаушы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экспорттаушы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64EB32EF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6DF5D39" w14:textId="77777777" w:rsidR="00C47EBE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экспорттаушы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мәміленің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тарапы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болып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табылатын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оған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екінші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өткізілген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тұлғаға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өткізген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тұлғасы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өткізу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деп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оны сату,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айырбастау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қайтару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сондай-ақ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1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жылдан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бастап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мерзімге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беру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түсініледі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).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қаржылық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жалдау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(лизинг) не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сақтау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консигнациялық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келісім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өңдеуге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беру,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өңдеуден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кейін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өтеусіз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гуманитарлық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не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техникалық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көмек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сыйлық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жарғылық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қорға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салым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беру);</w:t>
      </w:r>
    </w:p>
    <w:p w14:paraId="7CCE3C4A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9D85BBA" w14:textId="77777777" w:rsidR="00C47EBE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экспорт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екінші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материалдық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ресурстарының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қорларын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азайтатын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әкету</w:t>
      </w:r>
      <w:proofErr w:type="spellEnd"/>
      <w:r w:rsidR="00803311"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598159F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6930A8C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Осы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әдіснамада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ұғымдар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Шартта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Одақ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құрайтын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актілерде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айқындалған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мәндерде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24FE996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369E5FB" w14:textId="52085701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Ескерту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3-тармаққа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өзгерту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енгізілді-Еуразиялық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алқаның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2021.12.28 № 185 (2022.07.01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бастап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енгізіледі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шешімімен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4DDEA6E8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DA8967B" w14:textId="77777777" w:rsidR="00967827" w:rsidRPr="00C47EBE" w:rsidRDefault="00803311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III.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Ақпарат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көздері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</w:p>
    <w:p w14:paraId="165ABCA2" w14:textId="77777777" w:rsidR="00967827" w:rsidRDefault="00967827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503BB4A" w14:textId="77777777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4.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жүргізу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негізгі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көзі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жасау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қатысушылар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ұсынатын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құжаттардағы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бұдан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әрі-статистикалық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құжаттар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табылады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қалыптастыру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көздерін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746C656A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6381D64" w14:textId="77777777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5.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шегі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белгіленуі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қатысушылар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егер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құнының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санының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сипаттамасының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мәні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осындай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шектерден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төмен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ұсынылатын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құжаттарда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көрсетпеуі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7FEEA80F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098D63A" w14:textId="77777777" w:rsidR="00967827" w:rsidRPr="00C47EBE" w:rsidRDefault="00803311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lastRenderedPageBreak/>
        <w:t xml:space="preserve">IV.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Қамту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саласы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</w:p>
    <w:p w14:paraId="47F68F70" w14:textId="77777777" w:rsidR="00967827" w:rsidRDefault="00967827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EDC6C9E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6.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статистикасындағы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негізінен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арасында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материалдық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ресурстарының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қорларына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нәтижесінде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материалдық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ресурстарының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қорларын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азайтатын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барлық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көздейтін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жалпы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жүйесі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жүзеге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асырылады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екінші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7D7F94D9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45F2A9D" w14:textId="593FBE97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қажеттілігінің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болуын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болмауын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айқындау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қиындық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тудыруы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жекелеген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санаттары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осы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Әдіснаманың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7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8-тармақтарында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70FB241A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5BFFA8D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7.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мынадай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санаттары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алынуға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жатады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5067FC03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165D1F6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а)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ерекше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сипаттамалары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бар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60BD34BA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53E2C14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монетарлық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емес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алтын; </w:t>
      </w:r>
    </w:p>
    <w:p w14:paraId="187F577C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27B5C5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айналыстағы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емес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банкноттар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қағаздар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монеталар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133DDED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4FA1750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әскери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мақсаттағы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64DD98C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A6460EA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тапсырыс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әзірленген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мазмұн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тасымалдаушыларын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қоспағанда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жазылған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жазылмаған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тасымалдаушылары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7435D241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8224D3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0C8824E0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CA6AABA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қалдықтар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сынықтар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4FCD5597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6FA038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б)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ерекше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тәсілмен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6CECE57C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9C46DC2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электр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энергиясы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табиғи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газ,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мұнай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мұнай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өнімдері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), су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стационарлық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арқылы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құбыр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көлігімен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электр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беру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желілері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т. б.); </w:t>
      </w:r>
    </w:p>
    <w:p w14:paraId="157E610F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3395617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тікелей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жазылу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арқылы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мерзімді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басылымдарды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газеттерді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журналдарды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қоспағанда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пошта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жөнелтілімдері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курьерлік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арқылы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ішінде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электрондық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құралдарды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электрондық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отырып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жасалған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мәмілелер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жіберілген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12180E59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4BDF67B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в)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ерекше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мәмілелер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5CBB6B4C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0D21A6A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айырбастау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келісімдері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6C0BD282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3337918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өтеусіз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гуманитарлық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техникалық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көмек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26828747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2348298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сыйлықтар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қайырымдылықтар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7C713342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C239CB4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консигнациялық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келісімдер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33522209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6260B12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сақтау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1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бастап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мерзімге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2C6766D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CC66837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1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басталатын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мерзімге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қаржылық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жалдау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(лизинг)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227B173D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E6468F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меншік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ауысуымен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меншік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ауысуынсыз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өңдеу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өңдеуге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арналған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өңдеу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нәтижесінде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өтемдік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)); </w:t>
      </w:r>
    </w:p>
    <w:p w14:paraId="08CAF2DF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D1CF7AC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қайтарылған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бұрын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экспортында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кейін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қайтарылған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импортында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бұрын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импортында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кейін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қайтарылған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экспортында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); </w:t>
      </w:r>
    </w:p>
    <w:p w14:paraId="360989BA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47AC2BF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г)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ерекше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қатысушымен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мәмілелер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мүддесі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көмек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бағдарламалары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шеңберінде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әскери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репарациялар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қалпына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келтіру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339F166B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08F97DD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тұрақты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орналастыру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әкеткен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құралдары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сондай-ақ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егер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мұндай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импорты (экспорты)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көлемі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маңызы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бар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танылса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әкеткен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07B0DC9D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93C751C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(бас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ұйымдар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тікелей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инвестициялау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кәсіпорындары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)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арасындағы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мәмілелер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нәтижесінде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жарғылық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қорларға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салым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2F7EC73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57A617C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аумақтарында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орналасқан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ұйымдардан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сондай-ақ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аумақтарында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орналасқан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ұйымдарға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жіберілген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1A134200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3CA4917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жүзеге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асыратын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шетелдік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өндірген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әкеткен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6514306B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65E750B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егер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мұндай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импорты (экспорты)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көлемі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маңызы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бар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танылса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мигранттар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6CCD6F4F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B7AA8BE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д)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меншік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беру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әдетте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ескерілетін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0048F4C9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1383614" w14:textId="09E37E71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су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әуе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кемелері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  <w:r w:rsidR="00967827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 </w:t>
      </w:r>
    </w:p>
    <w:p w14:paraId="77766A19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</w:pPr>
    </w:p>
    <w:p w14:paraId="3A9F84CF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екінші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меншік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ауыса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отырып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жерсеріктер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жеткізгіштері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415E3FC0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75A5008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Бұл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ретте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атынан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тапсырмасы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өндірілген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ұшырылған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жерсерік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экспортында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импортында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ескеріледі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54E860E2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22E3B2A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теңіз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өнімдері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өндірілген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өнімдері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теңіз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түбінен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минералдар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құтқарылған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65BA509D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DF19CF4" w14:textId="02A09680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кемесінен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ашық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теңіздегі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кемесіне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тиелген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068EF6CD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9628DAE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кемесінен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портына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тиелген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32C0B38F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E52FBB7" w14:textId="44E22560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бункерлік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балласт,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бекіту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жарақтары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керек -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материалдар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әуе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кемесі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сатып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портында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әуе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кемесінен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тиелген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2EED0A90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D28C594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8.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келесі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санаттары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алынбайды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05FEC5BE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DB4C20F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а)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транзиттік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үшінші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елдің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жеткізу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тыс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); </w:t>
      </w:r>
    </w:p>
    <w:p w14:paraId="71E62A40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B14A44D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б) 1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дейінгі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мерзімге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уақытша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ішінде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көрме-жәрмеңке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мәдени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спорттық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ойын-сауық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іс-шараларды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барысында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көрсетуге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пайдалануға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арналған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сынамалары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үлгілерін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алғанда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); </w:t>
      </w:r>
    </w:p>
    <w:p w14:paraId="536F19EB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CD573A3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в)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операциялық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жалдау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25CD4A54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F6FB861" w14:textId="63C20882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г)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монетарлық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алтын; </w:t>
      </w:r>
    </w:p>
    <w:p w14:paraId="28130B1E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D6D42DF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д)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айналысқа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шығарылған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банкноттар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қағаздар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монеталар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нумизматикалық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пайдаланылатындарды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қоспағанда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); </w:t>
      </w:r>
    </w:p>
    <w:p w14:paraId="6849E8E3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DA9AA3E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е)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тікелей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жазылу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арқылы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мерзімді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басылымдар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газеттер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журналдар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); </w:t>
      </w:r>
    </w:p>
    <w:p w14:paraId="01CE2627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742EE1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ж)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дипломатиялық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өкілдіктері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консулдық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мекемелері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ресми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өкілдіктері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ресми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пайдалануын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қамтамасыз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06AAC709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0351EBD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з)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дипломатиялық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өкілдіктерінің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консулдық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мекемелерінің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ресми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өкілдіктерінің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жұмыс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істеуін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ресми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пайдалануын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қамтамасыз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28076F3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00E603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и)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орналасқан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ұйымдар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әкеткен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0A23E42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A60D9E8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к)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пен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аумақтық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анклавтары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жасанды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аралдар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қондырғылар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құрылыстар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тыс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орналасқан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айрықша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юрисдикциясы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бар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объектілер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арасында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57EC36A2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3A0E7F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л)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жөндеу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техникалық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)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ішінде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өтеусіз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кепілдік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)),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сондай-ақ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жөндеуден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техникалық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көрсетуден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кейін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қайтарылатын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ішінде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өтеусіз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кепілдік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6D30AAD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192E32B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м)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өтеусіз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кепілдік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жөндеу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техникалық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сондай-ақ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қайтарылатын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083C856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5A7B3D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н)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Тасымалдау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тасымалдау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айналымды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қайтарылатын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ыдыс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49DF878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70DB9EE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о)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құбыржол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көлігімен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оны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іске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қосу-баптау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жұмыстарын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жүргізу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қажетті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7D02A650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BDFFE1C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п) осы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Әдіснаманың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7-тармағының "д"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тармақшасында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көрсетілгендерді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қоспағанда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, керек-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36326AE6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CD35F3E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р)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кепіл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шотына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берілетін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0CCCDE7E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6A6FE5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с)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3BBE6C00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62D8EBA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т)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меншік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өтпей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ұшырылған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жерсеріктер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тасымалдаушылары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56DD886E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9AF28CD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у)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меншік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өтпей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осы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ұшырылған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жерсеріктер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тасымалдаушылары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312C28D4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2F4204F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ф)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жою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аумағынан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әкелінген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254B0C13" w14:textId="77777777" w:rsidR="00C47EBE" w:rsidRDefault="00C47EBE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022A874" w14:textId="365A125D" w:rsidR="00967827" w:rsidRPr="00C47EBE" w:rsidRDefault="00803311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V. </w:t>
      </w:r>
      <w:r w:rsidR="00C47EBE" w:rsidRPr="00C47EB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Т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ауарларды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алу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сәті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</w:p>
    <w:p w14:paraId="5BE89D73" w14:textId="77777777" w:rsidR="00967827" w:rsidRDefault="00967827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85EF16B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9.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Жалпы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ереже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76B335E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FB4A8CB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импорты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кезінде-тауар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түскен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күн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014CF870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5B22131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экспорттау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кезінде-тауарды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жөнелту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күні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381E7533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18EC1B6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белгіленген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тәртіппен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бухгалтерлік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есепте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кіріске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есептен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шығару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күні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келіп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түскен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тиеп-жөнелтілген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күні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есептеледі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59F4348C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25E0476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ортақ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шекарасы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жоқ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шекарасын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кесіп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күні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6AF2E2EE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4C504AE" w14:textId="5BDDE6FA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Жалпы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ереже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алынбайтын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санаттары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осы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Әдіснаманың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10-тармағында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61D9354B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178540E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10.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Стационарлық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арқылы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құбыржол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көлігімен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электр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беру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желілері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т.б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жеткізу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жүзеге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асырылған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айда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алынады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59AD687A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D5F816B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Осы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Әдіснаманың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7-тармағының "д"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тармақшасында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әдетте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меншік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ауысу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күні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ескеріледі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0E0CCA92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2F41DFF" w14:textId="73F4B691" w:rsidR="00967827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Белгілі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уақыт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кезеңі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ішінде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жекелеген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компоненттер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өткізілетін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жинақталмаған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бөлшектелген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ішінде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жиынтықталмаған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аяқталмаған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белгіленеді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VI.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жіктелуі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</w:p>
    <w:p w14:paraId="01057924" w14:textId="77777777" w:rsidR="00967827" w:rsidRDefault="00967827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7B39DE3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11.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жіктеуіші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одақтың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бұдан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– ЕАЭО СЭҚ ТН)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бірыңғай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номенклатурасы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2FFBA848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4B9C5E3" w14:textId="77777777" w:rsidR="00C47EBE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ЕАЭО СЭҚ ТН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Дүниежүзілік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кеден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ұйымының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сипаттау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кодтаудың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үйлестірілген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жүйесіне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Тәуелсіз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Достастығының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бірыңғай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номенклатурасына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бұдан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– ТМД СЭҚ ТН)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негізделген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064341D1" w14:textId="77777777" w:rsidR="00C47EBE" w:rsidRDefault="00C47EBE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8F1B35A" w14:textId="77777777" w:rsidR="002A11E8" w:rsidRDefault="00803311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Мысал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кестеде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жүргізу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ЕАЭО СЭҚ ТН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жіктеу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топтары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сәйкестігін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отырып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келтірілген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570E95B2" w14:textId="77777777" w:rsidR="002A11E8" w:rsidRDefault="002A11E8" w:rsidP="00C47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145"/>
        <w:gridCol w:w="1140"/>
        <w:gridCol w:w="1137"/>
        <w:gridCol w:w="1137"/>
        <w:gridCol w:w="553"/>
        <w:gridCol w:w="553"/>
        <w:gridCol w:w="200"/>
        <w:gridCol w:w="200"/>
        <w:gridCol w:w="200"/>
        <w:gridCol w:w="335"/>
      </w:tblGrid>
      <w:tr w:rsidR="002A11E8" w:rsidRPr="00A0694F" w14:paraId="26381C26" w14:textId="77777777" w:rsidTr="0012685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90608E4" w14:textId="24B978F1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Жіктеу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топтамасының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атауы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14:paraId="378FE45A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Подсубпозиция</w:t>
            </w:r>
            <w:proofErr w:type="spellEnd"/>
          </w:p>
        </w:tc>
      </w:tr>
      <w:tr w:rsidR="002A11E8" w:rsidRPr="00A0694F" w14:paraId="624AA0B2" w14:textId="77777777" w:rsidTr="0012685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9CB445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03BCAC70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Субпозиция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782FF157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A11E8" w:rsidRPr="00A0694F" w14:paraId="0E39CD89" w14:textId="77777777" w:rsidTr="0012685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03C3E0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F7E41D6" w14:textId="79295297" w:rsidR="002A11E8" w:rsidRPr="002A11E8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ауар</w:t>
            </w: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сы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29B0AA4D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98213AD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A11E8" w:rsidRPr="00A0694F" w14:paraId="3E770014" w14:textId="77777777" w:rsidTr="0012685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8EB3A5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8EA798" w14:textId="59A777C3" w:rsidR="002A11E8" w:rsidRPr="002A11E8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Топ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C04637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527736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3B4142E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A11E8" w:rsidRPr="00A0694F" w14:paraId="5E881012" w14:textId="77777777" w:rsidTr="00126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ADCA0" w14:textId="6AC712D6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ЕАЭО СЭҚ ТН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кодының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разряды</w:t>
            </w:r>
          </w:p>
        </w:tc>
        <w:tc>
          <w:tcPr>
            <w:tcW w:w="0" w:type="auto"/>
            <w:vAlign w:val="center"/>
            <w:hideMark/>
          </w:tcPr>
          <w:p w14:paraId="30FECC67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F46303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872A87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775EFA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1835FE2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8022A61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620BDCF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11E5756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4094D5D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3E9E1CC" w14:textId="77777777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A0694F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10</w:t>
            </w:r>
          </w:p>
        </w:tc>
      </w:tr>
      <w:tr w:rsidR="002A11E8" w:rsidRPr="00A0694F" w14:paraId="03078D1C" w14:textId="77777777" w:rsidTr="00126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D6EE3" w14:textId="5C05FD5D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Халықаралық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негіз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5DF3C6F7" w14:textId="6D9BCCBE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Дүниежүзілік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кеден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ұйымының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тауарларын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сипаттау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кодтаудың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үйлестірілген</w:t>
            </w:r>
            <w:proofErr w:type="spellEnd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жүйесі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6C24DD07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D403394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2A11E8" w:rsidRPr="00A0694F" w14:paraId="4BA1BD28" w14:textId="77777777" w:rsidTr="00126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D2491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14:paraId="1A30ADC4" w14:textId="7AC9B08B" w:rsidR="002A11E8" w:rsidRPr="00A0694F" w:rsidRDefault="002A11E8" w:rsidP="0012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803311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ТМД СЭҚ ТН</w:t>
            </w:r>
          </w:p>
        </w:tc>
        <w:tc>
          <w:tcPr>
            <w:tcW w:w="0" w:type="auto"/>
            <w:vMerge/>
            <w:vAlign w:val="center"/>
            <w:hideMark/>
          </w:tcPr>
          <w:p w14:paraId="5886EF93" w14:textId="77777777" w:rsidR="002A11E8" w:rsidRPr="00A0694F" w:rsidRDefault="002A11E8" w:rsidP="0012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14:paraId="78489A59" w14:textId="77777777" w:rsidR="00967827" w:rsidRDefault="00967827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D07337B" w14:textId="745EEA1F" w:rsidR="00803311" w:rsidRPr="00803311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12.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қалыптастырған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ЕАЭО СЭҚ ТН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кодын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болмаған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код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қолданылуы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284ECFF9" w14:textId="77777777" w:rsidR="00803311" w:rsidRPr="00803311" w:rsidRDefault="00803311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D298184" w14:textId="77777777" w:rsidR="00967827" w:rsidRPr="002A11E8" w:rsidRDefault="00803311" w:rsidP="008033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Тауарлардың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құндық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бағасы</w:t>
      </w:r>
      <w:proofErr w:type="spellEnd"/>
    </w:p>
    <w:p w14:paraId="6C4B18E2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r w:rsidR="002A11E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03311">
        <w:rPr>
          <w:rFonts w:ascii="Times New Roman" w:hAnsi="Times New Roman" w:cs="Times New Roman"/>
          <w:sz w:val="24"/>
          <w:szCs w:val="24"/>
        </w:rPr>
        <w:t>Инкотермс 2010</w:t>
      </w:r>
      <w:r w:rsidR="002A11E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терминдерін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палатасының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ережелерінде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сипатталған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терминдерге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базисіне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келтірілген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мәміле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шарттарымен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айқындалған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түсініледі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34ED8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ереже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импортталатын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үшін-баға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CIF; </w:t>
      </w:r>
    </w:p>
    <w:p w14:paraId="33F4D5B5" w14:textId="00347CBD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экспортталатын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2A11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11E8">
        <w:rPr>
          <w:rFonts w:ascii="Times New Roman" w:hAnsi="Times New Roman" w:cs="Times New Roman"/>
          <w:sz w:val="24"/>
          <w:szCs w:val="24"/>
        </w:rPr>
        <w:t>–</w:t>
      </w:r>
      <w:r w:rsidR="002A11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3311">
        <w:rPr>
          <w:rFonts w:ascii="Times New Roman" w:hAnsi="Times New Roman" w:cs="Times New Roman"/>
          <w:sz w:val="24"/>
          <w:szCs w:val="24"/>
        </w:rPr>
        <w:t xml:space="preserve">FOB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2B087" w14:textId="38E49354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Импортталатын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экспортталатын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Әдіснаманың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15-тармақтарында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23D1A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14. Су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көлігі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импортталатын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аумағына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импортталатын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әкелу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портындағы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CIF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бағаларымен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2A783" w14:textId="78A2108F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көліктің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импорттаған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CIF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қолданылмайтын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аумағына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импортталатын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шекарасындағы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әкелу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пунктіндегі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CIP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бағаларымен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DD766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311">
        <w:rPr>
          <w:rFonts w:ascii="Times New Roman" w:hAnsi="Times New Roman" w:cs="Times New Roman"/>
          <w:sz w:val="24"/>
          <w:szCs w:val="24"/>
        </w:rPr>
        <w:lastRenderedPageBreak/>
        <w:t xml:space="preserve">15. Су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көлігі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экспортталатын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аумағынан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экспортталатын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әкету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портындағы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FOB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бағаларымен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  <w:r w:rsidR="002A11E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3F14E281" w14:textId="07B83C4C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көліктің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экспорттаған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FOB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бағалары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қолданылмайтын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FCA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бағасымен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FOB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FCA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бағалары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қолданылмайтын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аумағынан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экспортталатын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шекарасындағы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әкету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пунктіндегі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DAP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бағасымен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49034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санаттарының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ерекшеліктерді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айқындалған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негізге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алына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A55019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монетарлық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алтынға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етпейтін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металдардан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коллекциялық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монеталарға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58FD4C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айналыстағы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банкноттарға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қағаздарға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монеталарға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қағаздың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металдың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номиналды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штамптау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шығындары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4B1CCC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тасығыштарға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тасығыштың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ондағы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1CFC60" w14:textId="7EFA3834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өтемдік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өңдеуге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C56B4" w14:textId="77777777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АҚШ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долларымен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мемлекеттердің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валюталарының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бірліктерімен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АҚШ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долларына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валютасының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бірліктеріне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күніне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бағам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>.</w:t>
      </w:r>
    </w:p>
    <w:p w14:paraId="2A2AB885" w14:textId="3CB2A262" w:rsidR="00967827" w:rsidRPr="002A11E8" w:rsidRDefault="00803311" w:rsidP="008033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Тауарлардың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сандық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есебі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85BC2F" w14:textId="77777777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есебі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энергиясын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өлшем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бірлігінде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килограммен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(таза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салмағы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санаттары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ЕАЭО СЭҚ ТН-да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өлшем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бірліктерінде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(дана, литр,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шаршы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метр,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текше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метр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CF06E" w14:textId="77777777" w:rsidR="002A11E8" w:rsidRDefault="002A11E8" w:rsidP="008033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7D017" w14:textId="549FCECA" w:rsidR="00967827" w:rsidRPr="002A11E8" w:rsidRDefault="00803311" w:rsidP="008033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Географиялық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таралуы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B8B2A1" w14:textId="77777777" w:rsidR="002A11E8" w:rsidRDefault="002A11E8" w:rsidP="008033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403F9" w14:textId="7E3065A7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импорты мен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экспортын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бөлу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серіктес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елдер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импорты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кезінде-тауар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жөнелтілетін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ел;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экспорттау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кезінде-тауар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тағайындалған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ел. </w:t>
      </w:r>
    </w:p>
    <w:p w14:paraId="0C2DE42F" w14:textId="77777777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елдерінің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жіктеуіші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мемлекеттердің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елдерінің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жіктеуіштері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BF797E" w14:textId="77777777" w:rsidR="002A11E8" w:rsidRDefault="002A11E8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31A0ED" w14:textId="45A980D0" w:rsidR="00967827" w:rsidRPr="002A11E8" w:rsidRDefault="00803311" w:rsidP="008033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тауарлармен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өзара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сауда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статистикасының</w:t>
      </w:r>
      <w:proofErr w:type="spellEnd"/>
      <w:r w:rsidRPr="002A1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E8">
        <w:rPr>
          <w:rFonts w:ascii="Times New Roman" w:hAnsi="Times New Roman" w:cs="Times New Roman"/>
          <w:b/>
          <w:bCs/>
          <w:sz w:val="24"/>
          <w:szCs w:val="24"/>
        </w:rPr>
        <w:t>көрсеткіштері</w:t>
      </w:r>
      <w:proofErr w:type="spellEnd"/>
    </w:p>
    <w:p w14:paraId="00CE9122" w14:textId="77777777" w:rsidR="002A11E8" w:rsidRPr="002A11E8" w:rsidRDefault="002A11E8" w:rsidP="008033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BF3C5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статистикасын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көрсеткіштер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50427F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311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proofErr w:type="gram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(ай);</w:t>
      </w:r>
    </w:p>
    <w:p w14:paraId="60BC2B98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бағыты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(импорт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экспорт); </w:t>
      </w:r>
    </w:p>
    <w:p w14:paraId="391AC651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в) ЕАЭО СЭҚ ТН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коды; </w:t>
      </w:r>
    </w:p>
    <w:p w14:paraId="79A7E701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тағайындалған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ел; </w:t>
      </w:r>
    </w:p>
    <w:p w14:paraId="3759C913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елі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8078F6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жөнелту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елі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7B9419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ел; </w:t>
      </w:r>
    </w:p>
    <w:p w14:paraId="51DE86B7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з) таза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салмағы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килограммен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CA44C64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и) ЕАЭО СЭҚ ТН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өлшем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бірлігінің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коды; </w:t>
      </w:r>
    </w:p>
    <w:p w14:paraId="7742BCFF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к) ЕАЭО СЭҚ ТН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өлшем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бірлігіндегі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саны; </w:t>
      </w:r>
    </w:p>
    <w:p w14:paraId="42F4A42A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л)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(АҚШ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долларымен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574D131" w14:textId="57F4A065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>м)</w:t>
      </w:r>
      <w:r w:rsidR="00984577" w:rsidRPr="00984577">
        <w:rPr>
          <w:rFonts w:ascii="Times New Roman" w:hAnsi="Times New Roman" w:cs="Times New Roman"/>
          <w:sz w:val="24"/>
          <w:szCs w:val="24"/>
        </w:rPr>
        <w:t xml:space="preserve"> </w:t>
      </w:r>
      <w:r w:rsidR="00984577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валютасының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бірлігінде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63F3154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н)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шекарасындағы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көрсеткіш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органның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қалауы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D3386E8" w14:textId="7D8A1B1D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о)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Сыныптауышқа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мәміленің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көрсеткіш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органның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қалауы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FC1B26" w14:textId="68F2FF7E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>21</w:t>
      </w:r>
      <w:r w:rsidRPr="002A11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органдар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жинауды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B8CA6F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бағыты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(импорт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экспорт); </w:t>
      </w:r>
    </w:p>
    <w:p w14:paraId="5C3ED061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б) ЕАЭО СЭҚ ТН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коды; </w:t>
      </w:r>
    </w:p>
    <w:p w14:paraId="0281CD56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034BA0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тағайындалған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ел; </w:t>
      </w:r>
    </w:p>
    <w:p w14:paraId="4D679525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елі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5F342B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жөнелту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елі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0DA30F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ел; </w:t>
      </w:r>
    </w:p>
    <w:p w14:paraId="23A98051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з) таза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салмағы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килограммен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912909F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и) ЕАЭО СЭҚ ТН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өлшем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бірлігінің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коды; </w:t>
      </w:r>
    </w:p>
    <w:p w14:paraId="6C9A9387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к) ЕАЭО СЭҚ ТН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өлшем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бірлігіндегі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саны; </w:t>
      </w:r>
    </w:p>
    <w:p w14:paraId="763697FA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л)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валюта коды; </w:t>
      </w:r>
    </w:p>
    <w:p w14:paraId="3D625B8F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lastRenderedPageBreak/>
        <w:t xml:space="preserve">м)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(АҚШ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долларымен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35A607E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311">
        <w:rPr>
          <w:rFonts w:ascii="Times New Roman" w:hAnsi="Times New Roman" w:cs="Times New Roman"/>
          <w:sz w:val="24"/>
          <w:szCs w:val="24"/>
        </w:rPr>
        <w:t>н)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экспорттаушының</w:t>
      </w:r>
      <w:proofErr w:type="spellEnd"/>
      <w:proofErr w:type="gram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импорттаушының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сәйкестендіру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нөмірі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BB993F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о)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контрагенттің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сәйкестендіру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нөмірі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CC493" w14:textId="7D349817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211-тармақпен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толықтырылды-Еуразиялық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алқаның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2021.12.28 № 185 (2022.07.01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қолданысқа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шешімімен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7C035" w14:textId="77777777" w:rsidR="002A11E8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>21</w:t>
      </w:r>
      <w:r w:rsidRPr="002A11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мемлекеттердің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мемлекеттердің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әдіснамада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көрсеткіштерде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мәліметтерде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көзделгеннен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өзгеше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толықтыра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CD57A" w14:textId="3E17E98E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212-тармақпен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толықтырылды-Еуразиялық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алқаның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2021.12.28 № 185 (2022.07.01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қолданысқа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шешімімен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65A71" w14:textId="77777777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Тауарлармен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статистикасының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деректерін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салаларының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деректерімен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тіркелімдердің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>, бизнес-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тіркелімдердің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т. б.)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деректерімен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байланыстыру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органның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қалауы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интеграцияланған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3311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қалыптастырылады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>:</w:t>
      </w:r>
    </w:p>
    <w:p w14:paraId="4D83C05D" w14:textId="77777777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D37D2A" w14:textId="77777777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311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proofErr w:type="gramEnd"/>
      <w:r w:rsidRPr="00803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қызметкерлер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саны); </w:t>
      </w:r>
    </w:p>
    <w:p w14:paraId="15E70395" w14:textId="77777777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73F9A9" w14:textId="2275A27B" w:rsidR="00967827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31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әкімшілік-аумақтық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311">
        <w:rPr>
          <w:rFonts w:ascii="Times New Roman" w:hAnsi="Times New Roman" w:cs="Times New Roman"/>
          <w:sz w:val="24"/>
          <w:szCs w:val="24"/>
        </w:rPr>
        <w:t>тиесілігі</w:t>
      </w:r>
      <w:proofErr w:type="spellEnd"/>
      <w:r w:rsidRPr="00803311">
        <w:rPr>
          <w:rFonts w:ascii="Times New Roman" w:hAnsi="Times New Roman" w:cs="Times New Roman"/>
          <w:sz w:val="24"/>
          <w:szCs w:val="24"/>
        </w:rPr>
        <w:t>.</w:t>
      </w:r>
    </w:p>
    <w:p w14:paraId="6DC17599" w14:textId="7FB96566" w:rsidR="00967827" w:rsidRPr="002A11E8" w:rsidRDefault="00803311" w:rsidP="002A11E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XI.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Деректерді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тарату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</w:p>
    <w:p w14:paraId="16A65276" w14:textId="77777777" w:rsidR="00967827" w:rsidRDefault="00967827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A80E1FE" w14:textId="7777777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23.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таратылуы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берілуі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шектелген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қамтымайтын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r w:rsidR="002A11E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«</w:t>
      </w: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Интернет</w:t>
      </w:r>
      <w:r w:rsidR="002A11E8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»</w:t>
      </w: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ақпараттық-телекоммуникациялық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желісіндегі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ресми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сайттарында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порталдарында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орналастыру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сондай-ақ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басылымдарда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жариялау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арқылы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тұрақты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0FA83490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310459D" w14:textId="4D6AA77D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қорғау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талаптарын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сақтай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отырып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жиынтық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39304D14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D33EB13" w14:textId="524B98C3" w:rsidR="00967827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Ескерту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23-тармаққа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өзгеріс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енгізілді-Еуразиялық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алқаның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2021.12.28 № 185 (2022.07.01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бастап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енгізіледі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шешімімен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7B775899" w14:textId="77777777" w:rsidR="00967827" w:rsidRDefault="00967827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535B82E" w14:textId="7777777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24.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таратылатын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сенімділікті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арттыру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дұрыс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түсіндіру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көздері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жете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есептеу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әдістері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жүргізілген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қалыптастырудың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әдіснамалық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тәсілдері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егжей-тегжейлі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қамтитын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метадеректер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орналастырылады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7AB52436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8874563" w14:textId="3103D2A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дұрыстығын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қамтамасыз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тұрақты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өзектендіру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жүзеге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асырылады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48103666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F93D30A" w14:textId="387DAADA" w:rsidR="00967827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Пайдаланушылардың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мүддесі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орналастыру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жариялау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өзектендіру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күндері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алдын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ала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хабарланады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4F0EE97D" w14:textId="77777777" w:rsidR="00967827" w:rsidRDefault="00967827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2B20C0D" w14:textId="77777777" w:rsidR="00967827" w:rsidRPr="002A11E8" w:rsidRDefault="00803311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XII.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Ақпараттың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құпиялылығы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</w:p>
    <w:p w14:paraId="3458662B" w14:textId="77777777" w:rsidR="00967827" w:rsidRDefault="00967827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0582848" w14:textId="7777777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25.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қатысушылар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ұсынған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құжаттардағы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ресми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қалыптастыру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ғана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235C799F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43257E0" w14:textId="7777777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жекелеген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қатысушысы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импорты (экспорты)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болып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табылады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жатқызылуы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6BF47067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568F07F" w14:textId="0A61FB5A" w:rsidR="00967827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қорғау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толықтығын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сақтауды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қамтамасыз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ететін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арнайы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техникалық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тәсілдерді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389962D0" w14:textId="77777777" w:rsidR="00967827" w:rsidRDefault="00967827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40DE545" w14:textId="7777777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26.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жекелеген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қатысушысы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импорты (экспорты)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шартта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одақтың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құрайтын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шарттарда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актілерде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көзделген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жағдайларда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ғана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ұсынады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252234A4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7118ADA" w14:textId="7777777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лауазымды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адамдары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Одақ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құқығын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құрайтын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халықаралық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шарттар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актілерге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жеткізген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де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тұлғалар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етуге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мақсаттарда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пайдалануға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үшінші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тұлғаларға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ішінде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беруге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құқылы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емес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таратылуы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берілуі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шектелген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5E0BE355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EA08F9B" w14:textId="7777777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құпиялылығын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бұзу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жауаптылыққа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соғады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37F1782D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EEDA099" w14:textId="30B20187" w:rsidR="00967827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Ескерту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26-тармаққа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өзгерту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енгізілді-Еуразиялық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алқаның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2021.12.28 № 185 (2022.07.01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бастап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қолданысқа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енгізіледі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шешімімен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0EDD25F6" w14:textId="77777777" w:rsidR="00967827" w:rsidRDefault="00967827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4339023" w14:textId="7777777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27.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қорғауға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кепілдік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береді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пассивті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белсенді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құпиялылық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қағидаттары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жүзеге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асырылады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7B4AE133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427D470" w14:textId="77777777" w:rsidR="002A11E8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Пассивті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құпиялылық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қағидаты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қатысушының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негізделген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өтініші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қорғаудың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қосымша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шараларын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қабылдауын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көздейді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25946570" w14:textId="77777777" w:rsidR="002A11E8" w:rsidRDefault="002A11E8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5B45571" w14:textId="370DC03B" w:rsidR="00967827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Белсенді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құпиялылық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қағидаты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заңнамасының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талаптарына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не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сыртқы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қызметтің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жекелеген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қатысушысы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сәйкестендіруді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болғызбау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қорғаудың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қосымша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шараларын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қабылдауын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көздейді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7639C1D4" w14:textId="77777777" w:rsidR="00967827" w:rsidRDefault="00967827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2C68A09" w14:textId="423E9728" w:rsidR="00967827" w:rsidRPr="002A11E8" w:rsidRDefault="00803311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lastRenderedPageBreak/>
        <w:t xml:space="preserve">XIII.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Деректердің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салыстырмалылығын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қамтамасыз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ету</w:t>
      </w:r>
      <w:proofErr w:type="spellEnd"/>
      <w:r w:rsidRPr="00803311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</w:p>
    <w:p w14:paraId="24EB89B0" w14:textId="77777777" w:rsidR="00967827" w:rsidRDefault="00967827" w:rsidP="0080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DEA5FAE" w14:textId="77777777" w:rsidR="002A4C92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28.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Мүше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мемлекеттердің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алшақтығы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әртүрлі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себептерге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болуы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ішінде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</w:p>
    <w:p w14:paraId="21F93D65" w14:textId="77777777" w:rsidR="002A4C92" w:rsidRDefault="002A4C92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7EA4394" w14:textId="77777777" w:rsidR="002A4C92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а)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импорты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экспортын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құндық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бағалау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ерекшеліктерімен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0FC64392" w14:textId="77777777" w:rsidR="002A4C92" w:rsidRDefault="002A4C92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B399C8D" w14:textId="77777777" w:rsidR="002A4C92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б)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импорты мен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экспортын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сәттерінің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айырмашылығы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10EDE182" w14:textId="77777777" w:rsidR="002A4C92" w:rsidRDefault="002A4C92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8FBE29F" w14:textId="77777777" w:rsidR="002A4C92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в)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жіктеу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тәсілдерінің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айырмашылығы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064E03F7" w14:textId="77777777" w:rsidR="002A4C92" w:rsidRDefault="002A4C92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3AC111D" w14:textId="77777777" w:rsidR="002A4C92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г)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статистикалық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шектерінің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болуы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321FF497" w14:textId="77777777" w:rsidR="002A4C92" w:rsidRDefault="002A4C92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79B38C5" w14:textId="77777777" w:rsidR="002A4C92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д)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жекелеген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санаттарын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есепке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ерекшеліктері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4C98650A" w14:textId="77777777" w:rsidR="002A4C92" w:rsidRDefault="002A4C92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28CCC94" w14:textId="77777777" w:rsidR="002A4C92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е)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көздеріндегі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мәліметтердің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дәлностьюстігі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</w:p>
    <w:p w14:paraId="5E01E628" w14:textId="77777777" w:rsidR="002A4C92" w:rsidRDefault="002A4C92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FAC8FBA" w14:textId="3E910F39" w:rsidR="00967827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ж)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ақпараттың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құпиялылығы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</w:p>
    <w:p w14:paraId="3B7DF205" w14:textId="77777777" w:rsidR="00967827" w:rsidRDefault="00967827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34A706B4" w14:textId="77777777" w:rsidR="00967827" w:rsidRDefault="00967827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319F46B" w14:textId="69BA8C58" w:rsidR="00803311" w:rsidRPr="00803311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29.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деректерінің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дұрыстығын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қамтамасыз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мақсатында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уәкілетті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органдар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ықтимал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алшақтықтардың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себептерін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анықтау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оларды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барынша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азайту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саудасы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статистикасының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деректерін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салыстыру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сарапшылардың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екіжақты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кездесулерін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өткізеді</w:t>
      </w:r>
      <w:proofErr w:type="spellEnd"/>
      <w:r w:rsidRPr="00803311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65C27B95" w14:textId="77777777" w:rsidR="00803311" w:rsidRPr="00803311" w:rsidRDefault="00803311" w:rsidP="002A1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F4EC443" w14:textId="77777777" w:rsidR="00803311" w:rsidRPr="00803311" w:rsidRDefault="00803311" w:rsidP="002A1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03311" w:rsidRPr="0080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31"/>
    <w:rsid w:val="00174548"/>
    <w:rsid w:val="002A11E8"/>
    <w:rsid w:val="002A4C92"/>
    <w:rsid w:val="00626C31"/>
    <w:rsid w:val="00803311"/>
    <w:rsid w:val="00967827"/>
    <w:rsid w:val="00984577"/>
    <w:rsid w:val="00C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724D"/>
  <w15:chartTrackingRefBased/>
  <w15:docId w15:val="{FF407165-4CE3-4F3D-AA56-B37AF82B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Нурсая Анес</dc:creator>
  <cp:keywords/>
  <dc:description/>
  <cp:lastModifiedBy>Нурсая Анес</cp:lastModifiedBy>
  <cp:revision>3</cp:revision>
  <dcterms:created xsi:type="dcterms:W3CDTF">2022-12-07T03:50:00Z</dcterms:created>
  <dcterms:modified xsi:type="dcterms:W3CDTF">2022-12-07T05:36:00Z</dcterms:modified>
</cp:coreProperties>
</file>